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B1A" w:rsidRPr="00966C30" w:rsidRDefault="00F33ADD">
      <w:pPr>
        <w:rPr>
          <w:b/>
        </w:rPr>
      </w:pPr>
      <w:r w:rsidRPr="00966C30">
        <w:rPr>
          <w:b/>
        </w:rPr>
        <w:t>PVX: Board Decision on changing PVC’s divestment plan at PVSD</w:t>
      </w:r>
    </w:p>
    <w:p w:rsidR="00F33ADD" w:rsidRDefault="00F33ADD">
      <w:r>
        <w:t xml:space="preserve">On 02 Mar 2017, </w:t>
      </w:r>
      <w:r w:rsidRPr="00F33ADD">
        <w:t>Petro Vietnam Construction Joint Stock Corporation</w:t>
      </w:r>
      <w:r>
        <w:t xml:space="preserve"> announced the Board Decision as follows:</w:t>
      </w:r>
    </w:p>
    <w:p w:rsidR="00F33ADD" w:rsidRDefault="00F33ADD" w:rsidP="00966C30">
      <w:pPr>
        <w:pStyle w:val="ListParagraph"/>
        <w:numPr>
          <w:ilvl w:val="0"/>
          <w:numId w:val="3"/>
        </w:numPr>
      </w:pPr>
      <w:r>
        <w:t>Approve PVC”s divestment plan at PVSD (stock code: SDP) as follows:</w:t>
      </w:r>
    </w:p>
    <w:p w:rsidR="00F33ADD" w:rsidRDefault="00F33ADD" w:rsidP="00F33ADD">
      <w:pPr>
        <w:pStyle w:val="ListParagraph"/>
        <w:numPr>
          <w:ilvl w:val="0"/>
          <w:numId w:val="1"/>
        </w:numPr>
      </w:pPr>
      <w:r>
        <w:t xml:space="preserve">Name of the majority shareholder: </w:t>
      </w:r>
      <w:r w:rsidRPr="00F33ADD">
        <w:t>, Petro Vietnam Construction Joint Stock Corporation</w:t>
      </w:r>
    </w:p>
    <w:p w:rsidR="00F33ADD" w:rsidRDefault="00F33ADD" w:rsidP="00F33ADD">
      <w:pPr>
        <w:pStyle w:val="ListParagraph"/>
        <w:numPr>
          <w:ilvl w:val="0"/>
          <w:numId w:val="1"/>
        </w:numPr>
      </w:pPr>
      <w:r>
        <w:t>Head quarter address: 25</w:t>
      </w:r>
      <w:r w:rsidRPr="00F33ADD">
        <w:rPr>
          <w:vertAlign w:val="superscript"/>
        </w:rPr>
        <w:t>th</w:t>
      </w:r>
      <w:r>
        <w:t xml:space="preserve"> Floor, CEO Building, HH2-1 Lot, Me Tri  Ha Urban Zone, Me Tri Ward, Nam </w:t>
      </w:r>
      <w:proofErr w:type="spellStart"/>
      <w:r>
        <w:t>Tu</w:t>
      </w:r>
      <w:proofErr w:type="spellEnd"/>
      <w:r>
        <w:t xml:space="preserve"> </w:t>
      </w:r>
      <w:proofErr w:type="spellStart"/>
      <w:r>
        <w:t>Liem</w:t>
      </w:r>
      <w:proofErr w:type="spellEnd"/>
      <w:r>
        <w:t xml:space="preserve"> District, Hanoi, Vietnam</w:t>
      </w:r>
    </w:p>
    <w:p w:rsidR="00F33ADD" w:rsidRDefault="00F33ADD" w:rsidP="00F33ADD">
      <w:pPr>
        <w:pStyle w:val="ListParagraph"/>
        <w:numPr>
          <w:ilvl w:val="0"/>
          <w:numId w:val="1"/>
        </w:numPr>
      </w:pPr>
      <w:r>
        <w:t>Business Registration Certificate No.3500102365 granted by Planning and Investment Department of Hanoi, the original on 20 Dec 2007, the 16</w:t>
      </w:r>
      <w:r w:rsidRPr="00F33ADD">
        <w:rPr>
          <w:vertAlign w:val="superscript"/>
        </w:rPr>
        <w:t>th</w:t>
      </w:r>
      <w:r>
        <w:t xml:space="preserve"> change on 07 Sep 2015</w:t>
      </w:r>
    </w:p>
    <w:p w:rsidR="00F33ADD" w:rsidRDefault="00F33ADD" w:rsidP="00F33ADD">
      <w:pPr>
        <w:pStyle w:val="ListParagraph"/>
        <w:numPr>
          <w:ilvl w:val="0"/>
          <w:numId w:val="1"/>
        </w:numPr>
      </w:pPr>
      <w:r>
        <w:t xml:space="preserve">Total number of SDP shares belonged  to </w:t>
      </w:r>
      <w:r w:rsidRPr="00F33ADD">
        <w:t>Petro Vietnam Construction Joint Stock</w:t>
      </w:r>
      <w:r>
        <w:t xml:space="preserve"> before transferring: 3,000,000 shares, accounting for 26.99% the Charter capital</w:t>
      </w:r>
    </w:p>
    <w:p w:rsidR="00F33ADD" w:rsidRDefault="00F33ADD" w:rsidP="00F33ADD">
      <w:pPr>
        <w:pStyle w:val="ListParagraph"/>
        <w:numPr>
          <w:ilvl w:val="0"/>
          <w:numId w:val="1"/>
        </w:numPr>
      </w:pPr>
      <w:r>
        <w:t xml:space="preserve">Total number of SDP shares expected to sold to other investor: </w:t>
      </w:r>
      <w:r w:rsidRPr="00F33ADD">
        <w:t>3,000,000 shares, accounting for 26.99% the Charter capital</w:t>
      </w:r>
    </w:p>
    <w:p w:rsidR="00F33ADD" w:rsidRDefault="00F33ADD" w:rsidP="00F33ADD">
      <w:pPr>
        <w:pStyle w:val="ListParagraph"/>
        <w:numPr>
          <w:ilvl w:val="0"/>
          <w:numId w:val="1"/>
        </w:numPr>
      </w:pPr>
      <w:r>
        <w:t xml:space="preserve">Type of shares transferred: free transfer common share </w:t>
      </w:r>
    </w:p>
    <w:p w:rsidR="00F33ADD" w:rsidRDefault="00F33ADD" w:rsidP="00F33ADD">
      <w:pPr>
        <w:pStyle w:val="ListParagraph"/>
        <w:numPr>
          <w:ilvl w:val="0"/>
          <w:numId w:val="1"/>
        </w:numPr>
      </w:pPr>
      <w:r>
        <w:t>Transfer price: 10,000 dongs/share</w:t>
      </w:r>
    </w:p>
    <w:p w:rsidR="00F33ADD" w:rsidRDefault="00F33ADD" w:rsidP="00F33ADD">
      <w:pPr>
        <w:pStyle w:val="ListParagraph"/>
        <w:numPr>
          <w:ilvl w:val="0"/>
          <w:numId w:val="1"/>
        </w:numPr>
      </w:pPr>
      <w:r>
        <w:t xml:space="preserve">Transferee: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450"/>
        <w:gridCol w:w="1481"/>
        <w:gridCol w:w="1504"/>
        <w:gridCol w:w="1510"/>
        <w:gridCol w:w="1504"/>
      </w:tblGrid>
      <w:tr w:rsidR="00F33ADD" w:rsidTr="00F33ADD">
        <w:tc>
          <w:tcPr>
            <w:tcW w:w="1450" w:type="dxa"/>
          </w:tcPr>
          <w:p w:rsidR="00F33ADD" w:rsidRDefault="00F33ADD" w:rsidP="00F33ADD">
            <w:pPr>
              <w:pStyle w:val="ListParagraph"/>
              <w:ind w:left="0"/>
            </w:pPr>
            <w:r>
              <w:t>No.</w:t>
            </w:r>
          </w:p>
        </w:tc>
        <w:tc>
          <w:tcPr>
            <w:tcW w:w="1481" w:type="dxa"/>
          </w:tcPr>
          <w:p w:rsidR="00F33ADD" w:rsidRDefault="00F33ADD" w:rsidP="00F33ADD">
            <w:pPr>
              <w:pStyle w:val="ListParagraph"/>
              <w:ind w:left="0"/>
            </w:pPr>
            <w:r>
              <w:t>Name</w:t>
            </w:r>
          </w:p>
        </w:tc>
        <w:tc>
          <w:tcPr>
            <w:tcW w:w="1504" w:type="dxa"/>
          </w:tcPr>
          <w:p w:rsidR="00F33ADD" w:rsidRDefault="00F33ADD" w:rsidP="00F33ADD">
            <w:pPr>
              <w:pStyle w:val="ListParagraph"/>
              <w:ind w:left="0"/>
            </w:pPr>
            <w:r>
              <w:t>Number of SDP shares before the transfer</w:t>
            </w:r>
          </w:p>
        </w:tc>
        <w:tc>
          <w:tcPr>
            <w:tcW w:w="1510" w:type="dxa"/>
          </w:tcPr>
          <w:p w:rsidR="00F33ADD" w:rsidRDefault="00F33ADD" w:rsidP="00F33ADD">
            <w:pPr>
              <w:pStyle w:val="ListParagraph"/>
              <w:ind w:left="0"/>
            </w:pPr>
            <w:r>
              <w:t>The number of shares  received</w:t>
            </w:r>
          </w:p>
        </w:tc>
        <w:tc>
          <w:tcPr>
            <w:tcW w:w="1504" w:type="dxa"/>
          </w:tcPr>
          <w:p w:rsidR="00F33ADD" w:rsidRDefault="00F33ADD" w:rsidP="00F33ADD">
            <w:pPr>
              <w:pStyle w:val="ListParagraph"/>
              <w:ind w:left="0"/>
            </w:pPr>
            <w:r>
              <w:t>Number of SDP shares after the transfer</w:t>
            </w:r>
          </w:p>
        </w:tc>
      </w:tr>
      <w:tr w:rsidR="00F33ADD" w:rsidTr="00F33ADD">
        <w:tc>
          <w:tcPr>
            <w:tcW w:w="1450" w:type="dxa"/>
          </w:tcPr>
          <w:p w:rsidR="00F33ADD" w:rsidRDefault="00F33ADD" w:rsidP="00F33AD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1" w:type="dxa"/>
          </w:tcPr>
          <w:p w:rsidR="00F33ADD" w:rsidRDefault="00F33ADD" w:rsidP="00F33ADD">
            <w:pPr>
              <w:pStyle w:val="ListParagraph"/>
              <w:ind w:left="0"/>
            </w:pPr>
            <w:r>
              <w:t xml:space="preserve">Vu </w:t>
            </w:r>
            <w:proofErr w:type="spellStart"/>
            <w:r>
              <w:t>Trong</w:t>
            </w:r>
            <w:proofErr w:type="spellEnd"/>
            <w:r>
              <w:t xml:space="preserve"> Hung</w:t>
            </w:r>
          </w:p>
        </w:tc>
        <w:tc>
          <w:tcPr>
            <w:tcW w:w="1504" w:type="dxa"/>
          </w:tcPr>
          <w:p w:rsidR="00F33ADD" w:rsidRDefault="00F33ADD" w:rsidP="00F33ADD">
            <w:pPr>
              <w:pStyle w:val="ListParagraph"/>
              <w:ind w:left="0"/>
            </w:pPr>
            <w:r>
              <w:t>34</w:t>
            </w:r>
          </w:p>
        </w:tc>
        <w:tc>
          <w:tcPr>
            <w:tcW w:w="1510" w:type="dxa"/>
          </w:tcPr>
          <w:p w:rsidR="00F33ADD" w:rsidRDefault="00966C30" w:rsidP="00F33ADD">
            <w:pPr>
              <w:pStyle w:val="ListParagraph"/>
              <w:ind w:left="0"/>
            </w:pPr>
            <w:r>
              <w:t>1,500,000</w:t>
            </w:r>
          </w:p>
        </w:tc>
        <w:tc>
          <w:tcPr>
            <w:tcW w:w="1504" w:type="dxa"/>
          </w:tcPr>
          <w:p w:rsidR="00F33ADD" w:rsidRDefault="00966C30" w:rsidP="00F33ADD">
            <w:pPr>
              <w:pStyle w:val="ListParagraph"/>
              <w:ind w:left="0"/>
            </w:pPr>
            <w:r>
              <w:t>1,500,034</w:t>
            </w:r>
          </w:p>
        </w:tc>
      </w:tr>
      <w:tr w:rsidR="00F33ADD" w:rsidTr="00F33ADD">
        <w:tc>
          <w:tcPr>
            <w:tcW w:w="1450" w:type="dxa"/>
          </w:tcPr>
          <w:p w:rsidR="00F33ADD" w:rsidRDefault="00F33ADD" w:rsidP="00F33AD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1" w:type="dxa"/>
          </w:tcPr>
          <w:p w:rsidR="00F33ADD" w:rsidRDefault="00F33ADD" w:rsidP="00F33ADD">
            <w:pPr>
              <w:pStyle w:val="ListParagraph"/>
              <w:ind w:left="0"/>
            </w:pPr>
            <w:r>
              <w:t xml:space="preserve">Nguyen </w:t>
            </w:r>
            <w:proofErr w:type="spellStart"/>
            <w:r>
              <w:t>Danh</w:t>
            </w:r>
            <w:proofErr w:type="spellEnd"/>
            <w:r>
              <w:t xml:space="preserve"> Son</w:t>
            </w:r>
          </w:p>
        </w:tc>
        <w:tc>
          <w:tcPr>
            <w:tcW w:w="1504" w:type="dxa"/>
          </w:tcPr>
          <w:p w:rsidR="00F33ADD" w:rsidRDefault="00F33ADD" w:rsidP="00F33ADD">
            <w:pPr>
              <w:pStyle w:val="ListParagraph"/>
              <w:ind w:left="0"/>
            </w:pPr>
            <w:r>
              <w:t>200</w:t>
            </w:r>
          </w:p>
        </w:tc>
        <w:tc>
          <w:tcPr>
            <w:tcW w:w="1510" w:type="dxa"/>
          </w:tcPr>
          <w:p w:rsidR="00F33ADD" w:rsidRDefault="00966C30" w:rsidP="00F33ADD">
            <w:pPr>
              <w:pStyle w:val="ListParagraph"/>
              <w:ind w:left="0"/>
            </w:pPr>
            <w:r>
              <w:t>1,000,000</w:t>
            </w:r>
          </w:p>
        </w:tc>
        <w:tc>
          <w:tcPr>
            <w:tcW w:w="1504" w:type="dxa"/>
          </w:tcPr>
          <w:p w:rsidR="00F33ADD" w:rsidRDefault="00966C30" w:rsidP="00F33ADD">
            <w:pPr>
              <w:pStyle w:val="ListParagraph"/>
              <w:ind w:left="0"/>
            </w:pPr>
            <w:r>
              <w:t>1,000,200</w:t>
            </w:r>
          </w:p>
        </w:tc>
      </w:tr>
      <w:tr w:rsidR="00F33ADD" w:rsidTr="00F33ADD">
        <w:tc>
          <w:tcPr>
            <w:tcW w:w="1450" w:type="dxa"/>
          </w:tcPr>
          <w:p w:rsidR="00F33ADD" w:rsidRDefault="00F33ADD" w:rsidP="00F33ADD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481" w:type="dxa"/>
          </w:tcPr>
          <w:p w:rsidR="00F33ADD" w:rsidRDefault="00F33ADD" w:rsidP="00F33ADD">
            <w:pPr>
              <w:pStyle w:val="ListParagraph"/>
              <w:ind w:left="0"/>
            </w:pPr>
            <w:r>
              <w:t xml:space="preserve">Pham Van  </w:t>
            </w:r>
            <w:proofErr w:type="spellStart"/>
            <w:r>
              <w:t>Chuc</w:t>
            </w:r>
            <w:proofErr w:type="spellEnd"/>
          </w:p>
        </w:tc>
        <w:tc>
          <w:tcPr>
            <w:tcW w:w="1504" w:type="dxa"/>
          </w:tcPr>
          <w:p w:rsidR="00F33ADD" w:rsidRDefault="00F33ADD" w:rsidP="00F33ADD">
            <w:pPr>
              <w:pStyle w:val="ListParagraph"/>
              <w:ind w:left="0"/>
            </w:pPr>
            <w:r>
              <w:t>11,700</w:t>
            </w:r>
          </w:p>
        </w:tc>
        <w:tc>
          <w:tcPr>
            <w:tcW w:w="1510" w:type="dxa"/>
          </w:tcPr>
          <w:p w:rsidR="00F33ADD" w:rsidRDefault="00966C30" w:rsidP="00F33ADD">
            <w:pPr>
              <w:pStyle w:val="ListParagraph"/>
              <w:ind w:left="0"/>
            </w:pPr>
            <w:r>
              <w:t>500,000</w:t>
            </w:r>
          </w:p>
        </w:tc>
        <w:tc>
          <w:tcPr>
            <w:tcW w:w="1504" w:type="dxa"/>
          </w:tcPr>
          <w:p w:rsidR="00F33ADD" w:rsidRDefault="00966C30" w:rsidP="00F33ADD">
            <w:pPr>
              <w:pStyle w:val="ListParagraph"/>
              <w:ind w:left="0"/>
            </w:pPr>
            <w:r>
              <w:t>511,700</w:t>
            </w:r>
          </w:p>
        </w:tc>
      </w:tr>
      <w:tr w:rsidR="00F33ADD" w:rsidTr="00F33ADD">
        <w:tc>
          <w:tcPr>
            <w:tcW w:w="1450" w:type="dxa"/>
          </w:tcPr>
          <w:p w:rsidR="00F33ADD" w:rsidRDefault="00F33ADD" w:rsidP="00F33ADD">
            <w:pPr>
              <w:pStyle w:val="ListParagraph"/>
              <w:ind w:left="0"/>
            </w:pPr>
            <w:r>
              <w:t>Total</w:t>
            </w:r>
          </w:p>
        </w:tc>
        <w:tc>
          <w:tcPr>
            <w:tcW w:w="1481" w:type="dxa"/>
          </w:tcPr>
          <w:p w:rsidR="00F33ADD" w:rsidRDefault="00F33ADD" w:rsidP="00F33ADD">
            <w:pPr>
              <w:pStyle w:val="ListParagraph"/>
              <w:ind w:left="0"/>
            </w:pPr>
          </w:p>
        </w:tc>
        <w:tc>
          <w:tcPr>
            <w:tcW w:w="1504" w:type="dxa"/>
          </w:tcPr>
          <w:p w:rsidR="00F33ADD" w:rsidRDefault="00F33ADD" w:rsidP="00F33ADD">
            <w:pPr>
              <w:pStyle w:val="ListParagraph"/>
              <w:ind w:left="0"/>
            </w:pPr>
          </w:p>
        </w:tc>
        <w:tc>
          <w:tcPr>
            <w:tcW w:w="1510" w:type="dxa"/>
          </w:tcPr>
          <w:p w:rsidR="00F33ADD" w:rsidRDefault="00966C30" w:rsidP="00966C30">
            <w:pPr>
              <w:pStyle w:val="ListParagraph"/>
              <w:ind w:left="0"/>
              <w:jc w:val="center"/>
            </w:pPr>
            <w:r>
              <w:t>3,000,000</w:t>
            </w:r>
          </w:p>
        </w:tc>
        <w:tc>
          <w:tcPr>
            <w:tcW w:w="1504" w:type="dxa"/>
          </w:tcPr>
          <w:p w:rsidR="00F33ADD" w:rsidRDefault="00F33ADD" w:rsidP="00F33ADD">
            <w:pPr>
              <w:pStyle w:val="ListParagraph"/>
              <w:ind w:left="0"/>
            </w:pPr>
          </w:p>
        </w:tc>
      </w:tr>
    </w:tbl>
    <w:p w:rsidR="00F33ADD" w:rsidRDefault="00F33ADD" w:rsidP="00F33ADD">
      <w:pPr>
        <w:pStyle w:val="ListParagraph"/>
      </w:pPr>
    </w:p>
    <w:p w:rsidR="00966C30" w:rsidRDefault="00966C30" w:rsidP="00F33ADD">
      <w:pPr>
        <w:pStyle w:val="ListParagraph"/>
      </w:pPr>
      <w:r>
        <w:t>-Transfer method: negotiation</w:t>
      </w:r>
    </w:p>
    <w:p w:rsidR="00966C30" w:rsidRDefault="00966C30" w:rsidP="00966C30">
      <w:pPr>
        <w:pStyle w:val="ListParagraph"/>
        <w:numPr>
          <w:ilvl w:val="0"/>
          <w:numId w:val="1"/>
        </w:numPr>
      </w:pPr>
      <w:r>
        <w:t>-</w:t>
      </w:r>
      <w:r w:rsidRPr="00966C30">
        <w:t xml:space="preserve"> </w:t>
      </w:r>
      <w:r>
        <w:t xml:space="preserve">Total number of SDP shares belonged  to </w:t>
      </w:r>
      <w:r w:rsidRPr="00F33ADD">
        <w:t>Petro Vietnam Construction Joint Stock</w:t>
      </w:r>
      <w:r>
        <w:t xml:space="preserve"> after transferring: 0 shares, accounting for 0% the Charter capital</w:t>
      </w:r>
    </w:p>
    <w:p w:rsidR="00966C30" w:rsidRDefault="00966C30" w:rsidP="00F33ADD">
      <w:pPr>
        <w:pStyle w:val="ListParagraph"/>
      </w:pPr>
    </w:p>
    <w:p w:rsidR="00966C30" w:rsidRDefault="00966C30" w:rsidP="00966C30">
      <w:pPr>
        <w:pStyle w:val="ListParagraph"/>
        <w:numPr>
          <w:ilvl w:val="0"/>
          <w:numId w:val="3"/>
        </w:numPr>
      </w:pPr>
      <w:r>
        <w:t>Assign the General Manager to implement the procedures related to Article 1.</w:t>
      </w:r>
    </w:p>
    <w:p w:rsidR="00966C30" w:rsidRDefault="00966C30" w:rsidP="00D2048A">
      <w:pPr>
        <w:pStyle w:val="ListParagraph"/>
        <w:numPr>
          <w:ilvl w:val="0"/>
          <w:numId w:val="3"/>
        </w:numPr>
      </w:pPr>
      <w:r>
        <w:t>This resolution takes effect as from the signing date, and replaces for Decision NO.9</w:t>
      </w:r>
      <w:r w:rsidR="00550635">
        <w:t>57/QD-XLDK dated 29 Nov 2016 of</w:t>
      </w:r>
      <w:r>
        <w:t xml:space="preserve"> Board of Directors.</w:t>
      </w:r>
    </w:p>
    <w:p w:rsidR="00966C30" w:rsidRDefault="00966C30" w:rsidP="00D2048A">
      <w:pPr>
        <w:pStyle w:val="ListParagraph"/>
      </w:pPr>
      <w:r>
        <w:t>General Man</w:t>
      </w:r>
      <w:r w:rsidR="00550635">
        <w:t xml:space="preserve">ager, Heads of Departments and </w:t>
      </w:r>
      <w:r>
        <w:t>related individuals are responsible</w:t>
      </w:r>
      <w:r w:rsidR="00D2048A">
        <w:t xml:space="preserve"> </w:t>
      </w:r>
      <w:r>
        <w:t>for</w:t>
      </w:r>
      <w:r w:rsidR="00D2048A">
        <w:t xml:space="preserve"> </w:t>
      </w:r>
      <w:r>
        <w:t>carrying out this resolution.</w:t>
      </w:r>
      <w:bookmarkStart w:id="0" w:name="_GoBack"/>
      <w:bookmarkEnd w:id="0"/>
    </w:p>
    <w:sectPr w:rsidR="00966C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6B85"/>
    <w:multiLevelType w:val="hybridMultilevel"/>
    <w:tmpl w:val="1A84A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83471"/>
    <w:multiLevelType w:val="hybridMultilevel"/>
    <w:tmpl w:val="9BC0B4CC"/>
    <w:lvl w:ilvl="0" w:tplc="9692D8A0">
      <w:start w:val="1"/>
      <w:numFmt w:val="decimal"/>
      <w:lvlText w:val="Article 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BA72BB"/>
    <w:multiLevelType w:val="hybridMultilevel"/>
    <w:tmpl w:val="A4CCC57C"/>
    <w:lvl w:ilvl="0" w:tplc="8F88C43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DD"/>
    <w:rsid w:val="004B6E72"/>
    <w:rsid w:val="00550635"/>
    <w:rsid w:val="00966C30"/>
    <w:rsid w:val="00D2048A"/>
    <w:rsid w:val="00E1407E"/>
    <w:rsid w:val="00F3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ADD"/>
    <w:pPr>
      <w:ind w:left="720"/>
      <w:contextualSpacing/>
    </w:pPr>
  </w:style>
  <w:style w:type="table" w:styleId="TableGrid">
    <w:name w:val="Table Grid"/>
    <w:basedOn w:val="TableNormal"/>
    <w:uiPriority w:val="59"/>
    <w:rsid w:val="00F33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ADD"/>
    <w:pPr>
      <w:ind w:left="720"/>
      <w:contextualSpacing/>
    </w:pPr>
  </w:style>
  <w:style w:type="table" w:styleId="TableGrid">
    <w:name w:val="Table Grid"/>
    <w:basedOn w:val="TableNormal"/>
    <w:uiPriority w:val="59"/>
    <w:rsid w:val="00F33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2017-03-06T08:47:00Z</dcterms:created>
  <dcterms:modified xsi:type="dcterms:W3CDTF">2017-03-06T09:06:00Z</dcterms:modified>
</cp:coreProperties>
</file>